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38A2" w14:textId="77777777" w:rsidR="00AE216B" w:rsidRDefault="00000000">
      <w:pPr>
        <w:widowControl/>
        <w:spacing w:before="240" w:after="12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  <w:lang w:val="de-DE"/>
        </w:rPr>
      </w:pPr>
      <w:r>
        <w:rPr>
          <w:rFonts w:ascii="黑体" w:eastAsia="黑体" w:hAnsi="Times New Roman" w:cs="Times New Roman" w:hint="eastAsia"/>
          <w:b/>
          <w:kern w:val="0"/>
          <w:sz w:val="32"/>
          <w:szCs w:val="32"/>
          <w:lang w:val="de-DE"/>
        </w:rPr>
        <w:t>3S硫化学</w:t>
      </w:r>
    </w:p>
    <w:p w14:paraId="6C7060C9" w14:textId="77777777" w:rsidR="00AE216B" w:rsidRDefault="00000000">
      <w:pPr>
        <w:widowControl/>
        <w:spacing w:after="240"/>
        <w:jc w:val="center"/>
        <w:rPr>
          <w:rFonts w:ascii="楷体_GB2312" w:eastAsia="楷体_GB2312" w:hAnsi="Times New Roman" w:cs="Times New Roman"/>
          <w:kern w:val="0"/>
          <w:sz w:val="24"/>
          <w:szCs w:val="24"/>
        </w:rPr>
      </w:pPr>
      <w:r>
        <w:rPr>
          <w:rFonts w:ascii="楷体_GB2312" w:eastAsia="楷体_GB2312" w:hAnsi="Times New Roman" w:cs="Times New Roman" w:hint="eastAsia"/>
          <w:kern w:val="0"/>
          <w:sz w:val="24"/>
          <w:szCs w:val="24"/>
          <w:u w:val="single"/>
        </w:rPr>
        <w:t>姜雪峰</w:t>
      </w:r>
      <w:r>
        <w:rPr>
          <w:rFonts w:ascii="楷体_GB2312" w:eastAsia="楷体_GB2312" w:hAnsi="Times New Roman" w:cs="Times New Roman" w:hint="eastAsia"/>
          <w:kern w:val="0"/>
          <w:sz w:val="24"/>
          <w:szCs w:val="24"/>
          <w:vertAlign w:val="superscript"/>
          <w:lang w:val="de-DE"/>
        </w:rPr>
        <w:t>1</w:t>
      </w:r>
      <w:r>
        <w:rPr>
          <w:rFonts w:ascii="楷体_GB2312" w:eastAsia="楷体_GB2312" w:hAnsi="Times New Roman" w:cs="Times New Roman" w:hint="eastAsia"/>
          <w:kern w:val="0"/>
          <w:sz w:val="24"/>
          <w:szCs w:val="24"/>
          <w:vertAlign w:val="superscript"/>
        </w:rPr>
        <w:t>*</w:t>
      </w:r>
    </w:p>
    <w:p w14:paraId="2E3DF93B" w14:textId="77777777" w:rsidR="00AE216B" w:rsidRDefault="00000000">
      <w:pPr>
        <w:widowControl/>
        <w:jc w:val="center"/>
        <w:rPr>
          <w:rFonts w:ascii="Times New Roman" w:eastAsia="宋体" w:hAnsi="Times New Roman" w:cs="Times New Roman"/>
          <w:kern w:val="0"/>
          <w:szCs w:val="21"/>
          <w:lang w:val="de-DE"/>
        </w:rPr>
      </w:pPr>
      <w:r>
        <w:rPr>
          <w:rFonts w:ascii="Times New Roman" w:eastAsia="宋体" w:hAnsi="Times New Roman" w:cs="Times New Roman"/>
          <w:kern w:val="0"/>
          <w:szCs w:val="21"/>
          <w:lang w:val="de-DE"/>
        </w:rPr>
        <w:t xml:space="preserve">1 </w:t>
      </w:r>
      <w:r>
        <w:rPr>
          <w:rFonts w:ascii="Times New Roman" w:eastAsia="宋体" w:hAnsi="Times New Roman" w:cs="Times New Roman" w:hint="eastAsia"/>
          <w:kern w:val="0"/>
          <w:szCs w:val="21"/>
        </w:rPr>
        <w:t>华东师范大学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化学与分子工程学院</w:t>
      </w:r>
      <w:r>
        <w:rPr>
          <w:rFonts w:ascii="Times New Roman" w:eastAsia="宋体" w:hAnsi="Times New Roman" w:cs="Times New Roman" w:hint="eastAsia"/>
          <w:kern w:val="0"/>
          <w:szCs w:val="21"/>
          <w:lang w:val="de-DE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上海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中国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200062</w:t>
      </w:r>
      <w:r>
        <w:rPr>
          <w:rFonts w:ascii="Times New Roman" w:eastAsia="宋体" w:hAnsi="Times New Roman" w:cs="Times New Roman"/>
          <w:kern w:val="0"/>
          <w:szCs w:val="21"/>
          <w:lang w:val="de-DE"/>
        </w:rPr>
        <w:t xml:space="preserve"> </w:t>
      </w:r>
    </w:p>
    <w:p w14:paraId="1A8F09CD" w14:textId="77777777" w:rsidR="00AE216B" w:rsidRDefault="00000000">
      <w:pPr>
        <w:widowControl/>
        <w:spacing w:afterLines="150" w:after="468"/>
        <w:jc w:val="center"/>
        <w:rPr>
          <w:rFonts w:ascii="Times New Roman" w:eastAsia="宋体" w:hAnsi="Times New Roman" w:cs="Times New Roman"/>
          <w:kern w:val="0"/>
          <w:szCs w:val="21"/>
          <w:lang w:val="de-DE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de-DE" w:eastAsia="ja-JP"/>
        </w:rPr>
        <w:t>*</w:t>
      </w:r>
      <w:r>
        <w:rPr>
          <w:rFonts w:ascii="Times New Roman" w:eastAsia="宋体" w:hAnsi="Times New Roman" w:cs="Times New Roman"/>
          <w:kern w:val="0"/>
          <w:szCs w:val="21"/>
          <w:lang w:val="de-DE" w:eastAsia="ja-JP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  <w:lang w:val="de-DE" w:eastAsia="ja-JP"/>
        </w:rPr>
        <w:t>xfjiang@chem.ecnu.edu.cn</w:t>
      </w:r>
    </w:p>
    <w:p w14:paraId="7C77CE3E" w14:textId="77777777" w:rsidR="00AE216B" w:rsidRDefault="00000000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de-DE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de-DE"/>
        </w:rPr>
        <w:t>摘要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de-DE"/>
        </w:rPr>
        <w:t>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鉴于含硫分子在药物化学和化学生物学中的深远意义，开发新型硫基化试剂，以通过温和、简洁且高效的方法获取含硫化合物是十分有必要的。通过绿色化学策略开展研究，以协助平衡自然界中的硫循环。基于硫原子独特的电子和轨道排列性质，课题组建立了具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 xml:space="preserve"> "3S"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Smelless/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无味、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Stable/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稳定、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Sustainable/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可持续）理念的绿色硫化学，并开发了一系列新的硫基化试剂及相应的方法学。通过这些策略，全面实现了天然产物、药物和有机材料中硫化物、多硫化物、硫代羰基、亚砜、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砜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及亚砜亚胺结构的构建。</w:t>
      </w:r>
    </w:p>
    <w:p w14:paraId="1B301963" w14:textId="77777777" w:rsidR="00AE216B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  <w:lang w:val="de-DE"/>
        </w:rPr>
      </w:pPr>
      <w:r>
        <w:rPr>
          <w:noProof/>
        </w:rPr>
        <w:drawing>
          <wp:inline distT="0" distB="0" distL="114300" distR="114300" wp14:anchorId="16B4279C" wp14:editId="186039FB">
            <wp:extent cx="2290445" cy="2277110"/>
            <wp:effectExtent l="0" t="0" r="0" b="889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28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9DFE" w14:textId="77777777" w:rsidR="00AE216B" w:rsidRDefault="00000000">
      <w:pPr>
        <w:widowControl/>
        <w:rPr>
          <w:rFonts w:ascii="Times New Roman" w:eastAsia="宋体" w:hAnsi="Times New Roman" w:cs="Times New Roman"/>
          <w:kern w:val="0"/>
          <w:sz w:val="24"/>
          <w:szCs w:val="24"/>
          <w:lang w:val="de-DE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de-DE"/>
        </w:rPr>
        <w:t>关键词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de-DE"/>
        </w:rPr>
        <w:t>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de-DE"/>
        </w:rPr>
        <w:t>无味、稳定、可持续</w:t>
      </w:r>
    </w:p>
    <w:p w14:paraId="0C9BE781" w14:textId="77777777" w:rsidR="00AE216B" w:rsidRDefault="00AE216B">
      <w:pPr>
        <w:widowControl/>
        <w:rPr>
          <w:rFonts w:ascii="Times New Roman" w:eastAsia="宋体" w:hAnsi="Times New Roman" w:cs="Times New Roman"/>
          <w:kern w:val="0"/>
          <w:sz w:val="24"/>
          <w:szCs w:val="24"/>
          <w:lang w:val="de-DE"/>
        </w:rPr>
      </w:pPr>
    </w:p>
    <w:p w14:paraId="540CE540" w14:textId="77777777" w:rsidR="00AE216B" w:rsidRDefault="00000000">
      <w:pPr>
        <w:widowControl/>
        <w:jc w:val="left"/>
        <w:rPr>
          <w:rFonts w:ascii="宋体" w:eastAsia="宋体" w:hAnsi="宋体" w:cs="Times New Roman" w:hint="eastAsia"/>
          <w:kern w:val="0"/>
          <w:sz w:val="24"/>
          <w:szCs w:val="24"/>
          <w:lang w:val="de-DE"/>
        </w:rPr>
      </w:pPr>
      <w:r>
        <w:rPr>
          <w:rFonts w:ascii="宋体" w:eastAsia="宋体" w:hAnsi="宋体" w:cs="Times New Roman"/>
          <w:b/>
          <w:kern w:val="0"/>
          <w:sz w:val="24"/>
          <w:szCs w:val="24"/>
          <w:lang w:val="de-DE"/>
        </w:rPr>
        <w:t>参考文献</w:t>
      </w:r>
    </w:p>
    <w:p w14:paraId="0DC3BA98" w14:textId="77777777" w:rsidR="00AE216B" w:rsidRDefault="00000000">
      <w:pPr>
        <w:pStyle w:val="Default"/>
        <w:jc w:val="both"/>
        <w:rPr>
          <w:bCs/>
          <w:sz w:val="21"/>
          <w:szCs w:val="21"/>
          <w:lang w:val="de-DE" w:eastAsia="zh-CN"/>
        </w:rPr>
      </w:pPr>
      <w:r>
        <w:rPr>
          <w:bCs/>
          <w:sz w:val="21"/>
          <w:szCs w:val="21"/>
          <w:lang w:val="de-DE" w:eastAsia="zh-CN"/>
        </w:rPr>
        <w:t>[1] Huang, R.; Zhao, Y.; Li, C.; Li, D.; Jiang, X.</w:t>
      </w:r>
      <w:r>
        <w:rPr>
          <w:rFonts w:hint="eastAsia"/>
          <w:bCs/>
          <w:sz w:val="21"/>
          <w:szCs w:val="21"/>
          <w:lang w:val="de-DE" w:eastAsia="zh-CN"/>
        </w:rPr>
        <w:t>*</w:t>
      </w:r>
      <w:r>
        <w:rPr>
          <w:bCs/>
          <w:sz w:val="21"/>
          <w:szCs w:val="21"/>
          <w:lang w:val="de-DE" w:eastAsia="zh-CN"/>
        </w:rPr>
        <w:t xml:space="preserve"> Photocatalytic upcycling of polysulfones at ambient conditions</w:t>
      </w:r>
      <w:r>
        <w:rPr>
          <w:rFonts w:hint="eastAsia"/>
          <w:bCs/>
          <w:sz w:val="21"/>
          <w:szCs w:val="21"/>
          <w:lang w:val="de-DE" w:eastAsia="zh-CN"/>
        </w:rPr>
        <w:t>.</w:t>
      </w:r>
      <w:r>
        <w:rPr>
          <w:bCs/>
          <w:sz w:val="21"/>
          <w:szCs w:val="21"/>
          <w:lang w:val="de-DE" w:eastAsia="zh-CN"/>
        </w:rPr>
        <w:t xml:space="preserve"> </w:t>
      </w:r>
      <w:r>
        <w:rPr>
          <w:bCs/>
          <w:i/>
          <w:iCs/>
          <w:sz w:val="21"/>
          <w:szCs w:val="21"/>
          <w:lang w:val="de-DE" w:eastAsia="zh-CN"/>
        </w:rPr>
        <w:t>Nature Sustainability</w:t>
      </w:r>
      <w:r>
        <w:rPr>
          <w:bCs/>
          <w:sz w:val="21"/>
          <w:szCs w:val="21"/>
          <w:lang w:val="de-DE" w:eastAsia="zh-CN"/>
        </w:rPr>
        <w:t xml:space="preserve"> </w:t>
      </w:r>
      <w:r>
        <w:rPr>
          <w:b/>
          <w:sz w:val="21"/>
          <w:szCs w:val="21"/>
          <w:lang w:val="de-DE" w:eastAsia="zh-CN"/>
        </w:rPr>
        <w:t>2025</w:t>
      </w:r>
      <w:r>
        <w:rPr>
          <w:bCs/>
          <w:sz w:val="21"/>
          <w:szCs w:val="21"/>
          <w:lang w:val="de-DE" w:eastAsia="zh-CN"/>
        </w:rPr>
        <w:t xml:space="preserve">, </w:t>
      </w:r>
      <w:r>
        <w:rPr>
          <w:bCs/>
          <w:i/>
          <w:iCs/>
          <w:sz w:val="21"/>
          <w:szCs w:val="21"/>
          <w:lang w:val="de-DE" w:eastAsia="zh-CN"/>
        </w:rPr>
        <w:t>8</w:t>
      </w:r>
      <w:r>
        <w:rPr>
          <w:bCs/>
          <w:sz w:val="21"/>
          <w:szCs w:val="21"/>
          <w:lang w:val="de-DE" w:eastAsia="zh-CN"/>
        </w:rPr>
        <w:t>, 818</w:t>
      </w:r>
      <w:r>
        <w:rPr>
          <w:rFonts w:hint="eastAsia"/>
          <w:bCs/>
          <w:sz w:val="21"/>
          <w:szCs w:val="21"/>
          <w:lang w:val="de-DE" w:eastAsia="zh-CN"/>
        </w:rPr>
        <w:t>.</w:t>
      </w:r>
    </w:p>
    <w:p w14:paraId="28DA13BD" w14:textId="77777777" w:rsidR="00AE216B" w:rsidRDefault="00000000">
      <w:pPr>
        <w:pStyle w:val="Default"/>
        <w:jc w:val="both"/>
        <w:rPr>
          <w:bCs/>
          <w:sz w:val="21"/>
          <w:szCs w:val="21"/>
        </w:rPr>
      </w:pPr>
      <w:r>
        <w:rPr>
          <w:bCs/>
          <w:sz w:val="21"/>
          <w:szCs w:val="21"/>
          <w:lang w:val="en-US" w:eastAsia="zh-CN"/>
        </w:rPr>
        <w:t>[2] Huang, S.; Zeng, D., Wang. M.; Jiang,</w:t>
      </w:r>
      <w:r>
        <w:rPr>
          <w:rFonts w:hint="eastAsia"/>
          <w:bCs/>
          <w:sz w:val="21"/>
          <w:szCs w:val="21"/>
          <w:lang w:val="en-US" w:eastAsia="zh-CN"/>
        </w:rPr>
        <w:t xml:space="preserve"> X.*</w:t>
      </w:r>
      <w:r>
        <w:rPr>
          <w:bCs/>
          <w:sz w:val="21"/>
          <w:szCs w:val="21"/>
          <w:lang w:val="en-US" w:eastAsia="zh-CN"/>
        </w:rPr>
        <w:t xml:space="preserve"> Ligand-Controlled Divergent </w:t>
      </w:r>
      <w:proofErr w:type="spellStart"/>
      <w:r>
        <w:rPr>
          <w:bCs/>
          <w:sz w:val="21"/>
          <w:szCs w:val="21"/>
          <w:lang w:val="en-US" w:eastAsia="zh-CN"/>
        </w:rPr>
        <w:t>Sulfuration</w:t>
      </w:r>
      <w:proofErr w:type="spellEnd"/>
      <w:r>
        <w:rPr>
          <w:bCs/>
          <w:sz w:val="21"/>
          <w:szCs w:val="21"/>
          <w:lang w:val="en-US" w:eastAsia="zh-CN"/>
        </w:rPr>
        <w:t xml:space="preserve"> and </w:t>
      </w:r>
      <w:proofErr w:type="spellStart"/>
      <w:r>
        <w:rPr>
          <w:bCs/>
          <w:sz w:val="21"/>
          <w:szCs w:val="21"/>
          <w:lang w:val="en-US" w:eastAsia="zh-CN"/>
        </w:rPr>
        <w:t>Disulfuration</w:t>
      </w:r>
      <w:proofErr w:type="spellEnd"/>
      <w:r>
        <w:rPr>
          <w:bCs/>
          <w:sz w:val="21"/>
          <w:szCs w:val="21"/>
          <w:lang w:val="en-US" w:eastAsia="zh-CN"/>
        </w:rPr>
        <w:t xml:space="preserve"> via Ni-Catalyzed Reductive Cross-Coupling Involving Thiourea Dioxide</w:t>
      </w:r>
      <w:r>
        <w:rPr>
          <w:rFonts w:hint="eastAsia"/>
          <w:bCs/>
          <w:sz w:val="21"/>
          <w:szCs w:val="21"/>
          <w:lang w:val="en-US" w:eastAsia="zh-CN"/>
        </w:rPr>
        <w:t>.</w:t>
      </w:r>
      <w:r>
        <w:rPr>
          <w:bCs/>
          <w:sz w:val="21"/>
          <w:szCs w:val="21"/>
          <w:lang w:val="en-US" w:eastAsia="zh-CN"/>
        </w:rPr>
        <w:t xml:space="preserve"> </w:t>
      </w:r>
      <w:r>
        <w:rPr>
          <w:bCs/>
          <w:i/>
          <w:iCs/>
          <w:sz w:val="21"/>
          <w:szCs w:val="21"/>
          <w:lang w:val="en-US" w:eastAsia="zh-CN"/>
        </w:rPr>
        <w:t>Nature Synthesis</w:t>
      </w:r>
      <w:r>
        <w:rPr>
          <w:bCs/>
          <w:sz w:val="21"/>
          <w:szCs w:val="21"/>
          <w:lang w:val="en-US" w:eastAsia="zh-CN"/>
        </w:rPr>
        <w:t xml:space="preserve"> </w:t>
      </w:r>
      <w:r>
        <w:rPr>
          <w:b/>
          <w:sz w:val="21"/>
          <w:szCs w:val="21"/>
          <w:lang w:val="en-US" w:eastAsia="zh-CN"/>
        </w:rPr>
        <w:t>2025</w:t>
      </w:r>
      <w:r>
        <w:rPr>
          <w:bCs/>
          <w:sz w:val="21"/>
          <w:szCs w:val="21"/>
          <w:lang w:val="en-US" w:eastAsia="zh-CN"/>
        </w:rPr>
        <w:t>, DOI:10.1038/s44160-025-00938-w.</w:t>
      </w:r>
    </w:p>
    <w:p w14:paraId="51340E2E" w14:textId="77777777" w:rsidR="00AE216B" w:rsidRDefault="00000000">
      <w:pPr>
        <w:pStyle w:val="Default"/>
        <w:jc w:val="both"/>
        <w:rPr>
          <w:rFonts w:eastAsia="宋体"/>
          <w:bCs/>
          <w:sz w:val="21"/>
          <w:szCs w:val="21"/>
          <w:lang w:val="en-US" w:eastAsia="zh-CN"/>
        </w:rPr>
      </w:pPr>
      <w:r>
        <w:rPr>
          <w:bCs/>
          <w:sz w:val="21"/>
          <w:szCs w:val="21"/>
          <w:lang w:val="en-US" w:eastAsia="zh-CN"/>
        </w:rPr>
        <w:t xml:space="preserve">[3] </w:t>
      </w:r>
      <w:proofErr w:type="spellStart"/>
      <w:r>
        <w:rPr>
          <w:bCs/>
          <w:sz w:val="21"/>
          <w:szCs w:val="21"/>
          <w:lang w:val="en-US" w:eastAsia="zh-CN"/>
        </w:rPr>
        <w:t>Lv</w:t>
      </w:r>
      <w:proofErr w:type="spellEnd"/>
      <w:r>
        <w:rPr>
          <w:rFonts w:hint="eastAsia"/>
          <w:bCs/>
          <w:sz w:val="21"/>
          <w:szCs w:val="21"/>
          <w:lang w:val="en-US" w:eastAsia="zh-CN"/>
        </w:rPr>
        <w:t xml:space="preserve">, </w:t>
      </w:r>
      <w:r>
        <w:rPr>
          <w:bCs/>
          <w:sz w:val="21"/>
          <w:szCs w:val="21"/>
          <w:lang w:val="en-US" w:eastAsia="zh-CN"/>
        </w:rPr>
        <w:t>H.</w:t>
      </w:r>
      <w:r>
        <w:rPr>
          <w:rFonts w:hint="eastAsia"/>
          <w:bCs/>
          <w:sz w:val="21"/>
          <w:szCs w:val="21"/>
          <w:lang w:val="en-US" w:eastAsia="zh-CN"/>
        </w:rPr>
        <w:t>;</w:t>
      </w:r>
      <w:r>
        <w:rPr>
          <w:bCs/>
          <w:sz w:val="21"/>
          <w:szCs w:val="21"/>
          <w:lang w:val="en-US" w:eastAsia="zh-CN"/>
        </w:rPr>
        <w:t xml:space="preserve"> Bai</w:t>
      </w:r>
      <w:r>
        <w:rPr>
          <w:rFonts w:hint="eastAsia"/>
          <w:bCs/>
          <w:sz w:val="21"/>
          <w:szCs w:val="21"/>
          <w:lang w:val="en-US" w:eastAsia="zh-CN"/>
        </w:rPr>
        <w:t xml:space="preserve">, </w:t>
      </w:r>
      <w:r>
        <w:rPr>
          <w:bCs/>
          <w:sz w:val="21"/>
          <w:szCs w:val="21"/>
          <w:lang w:val="en-US" w:eastAsia="zh-CN"/>
        </w:rPr>
        <w:t>L.</w:t>
      </w:r>
      <w:r>
        <w:rPr>
          <w:rFonts w:hint="eastAsia"/>
          <w:bCs/>
          <w:sz w:val="21"/>
          <w:szCs w:val="21"/>
          <w:lang w:val="en-US" w:eastAsia="zh-CN"/>
        </w:rPr>
        <w:t>;</w:t>
      </w:r>
      <w:r>
        <w:rPr>
          <w:bCs/>
          <w:sz w:val="21"/>
          <w:szCs w:val="21"/>
          <w:lang w:val="en-US" w:eastAsia="zh-CN"/>
        </w:rPr>
        <w:t xml:space="preserve"> Jiang</w:t>
      </w:r>
      <w:r>
        <w:rPr>
          <w:rFonts w:hint="eastAsia"/>
          <w:bCs/>
          <w:sz w:val="21"/>
          <w:szCs w:val="21"/>
          <w:lang w:val="en-US" w:eastAsia="zh-CN"/>
        </w:rPr>
        <w:t xml:space="preserve">, </w:t>
      </w:r>
      <w:r>
        <w:rPr>
          <w:bCs/>
          <w:sz w:val="21"/>
          <w:szCs w:val="21"/>
          <w:lang w:val="en-US" w:eastAsia="zh-CN"/>
        </w:rPr>
        <w:t>X.*</w:t>
      </w:r>
      <w:r>
        <w:rPr>
          <w:rFonts w:hint="eastAsia"/>
          <w:bCs/>
          <w:sz w:val="21"/>
          <w:szCs w:val="21"/>
          <w:lang w:val="en-US" w:eastAsia="zh-CN"/>
        </w:rPr>
        <w:t xml:space="preserve"> </w:t>
      </w:r>
      <w:r>
        <w:rPr>
          <w:bCs/>
          <w:sz w:val="21"/>
          <w:szCs w:val="21"/>
          <w:lang w:val="en-US" w:eastAsia="zh-CN"/>
        </w:rPr>
        <w:t>Carbene Zipper Reaction for Cascade π-Extension</w:t>
      </w:r>
      <w:r>
        <w:rPr>
          <w:rFonts w:hint="eastAsia"/>
          <w:bCs/>
          <w:sz w:val="21"/>
          <w:szCs w:val="21"/>
          <w:lang w:val="en-US" w:eastAsia="zh-CN"/>
        </w:rPr>
        <w:t xml:space="preserve">. </w:t>
      </w:r>
      <w:r>
        <w:rPr>
          <w:bCs/>
          <w:i/>
          <w:iCs/>
          <w:sz w:val="21"/>
          <w:szCs w:val="21"/>
          <w:lang w:val="en-US" w:eastAsia="zh-CN"/>
        </w:rPr>
        <w:t>J. Am. Chem. Soc.</w:t>
      </w:r>
      <w:r>
        <w:rPr>
          <w:bCs/>
          <w:sz w:val="21"/>
          <w:szCs w:val="21"/>
          <w:lang w:val="en-US" w:eastAsia="zh-CN"/>
        </w:rPr>
        <w:t xml:space="preserve"> </w:t>
      </w:r>
      <w:r>
        <w:rPr>
          <w:b/>
          <w:sz w:val="21"/>
          <w:szCs w:val="21"/>
          <w:lang w:val="en-US" w:eastAsia="zh-CN"/>
        </w:rPr>
        <w:t>2025</w:t>
      </w:r>
      <w:r>
        <w:rPr>
          <w:bCs/>
          <w:sz w:val="21"/>
          <w:szCs w:val="21"/>
          <w:lang w:val="en-US" w:eastAsia="zh-CN"/>
        </w:rPr>
        <w:t xml:space="preserve">, </w:t>
      </w:r>
      <w:r>
        <w:rPr>
          <w:bCs/>
          <w:i/>
          <w:iCs/>
          <w:sz w:val="21"/>
          <w:szCs w:val="21"/>
          <w:lang w:val="en-US" w:eastAsia="zh-CN"/>
        </w:rPr>
        <w:t>147</w:t>
      </w:r>
      <w:r>
        <w:rPr>
          <w:bCs/>
          <w:sz w:val="21"/>
          <w:szCs w:val="21"/>
          <w:lang w:val="en-US" w:eastAsia="zh-CN"/>
        </w:rPr>
        <w:t>, 38743.</w:t>
      </w:r>
    </w:p>
    <w:p w14:paraId="5510D05A" w14:textId="77777777" w:rsidR="00AE216B" w:rsidRDefault="00000000">
      <w:pPr>
        <w:pStyle w:val="Default"/>
        <w:jc w:val="both"/>
        <w:rPr>
          <w:bCs/>
          <w:sz w:val="21"/>
          <w:szCs w:val="21"/>
          <w:lang w:val="en-US" w:eastAsia="zh-CN"/>
        </w:rPr>
      </w:pPr>
      <w:r>
        <w:rPr>
          <w:bCs/>
          <w:sz w:val="21"/>
          <w:szCs w:val="21"/>
          <w:lang w:val="en-US" w:eastAsia="zh-CN"/>
        </w:rPr>
        <w:t>[4] Zeng, D; Zhang, X; Zheng, H.; Wang, M.; Jiang, X.</w:t>
      </w:r>
      <w:r>
        <w:rPr>
          <w:rFonts w:hint="eastAsia"/>
          <w:bCs/>
          <w:sz w:val="21"/>
          <w:szCs w:val="21"/>
          <w:lang w:val="en-US" w:eastAsia="zh-CN"/>
        </w:rPr>
        <w:t>*</w:t>
      </w:r>
      <w:r>
        <w:rPr>
          <w:bCs/>
          <w:sz w:val="21"/>
          <w:szCs w:val="21"/>
          <w:lang w:val="en-US" w:eastAsia="zh-CN"/>
        </w:rPr>
        <w:t xml:space="preserve"> Construction of chiral click chemistry platform via enantioselective F/Cl exchange at S(VI) centers</w:t>
      </w:r>
      <w:r>
        <w:rPr>
          <w:rFonts w:hint="eastAsia"/>
          <w:bCs/>
          <w:sz w:val="21"/>
          <w:szCs w:val="21"/>
          <w:lang w:val="en-US" w:eastAsia="zh-CN"/>
        </w:rPr>
        <w:t>.</w:t>
      </w:r>
      <w:r>
        <w:rPr>
          <w:bCs/>
          <w:sz w:val="21"/>
          <w:szCs w:val="21"/>
          <w:lang w:val="en-US" w:eastAsia="zh-CN"/>
        </w:rPr>
        <w:t xml:space="preserve"> </w:t>
      </w:r>
      <w:r>
        <w:rPr>
          <w:bCs/>
          <w:i/>
          <w:iCs/>
          <w:sz w:val="21"/>
          <w:szCs w:val="21"/>
          <w:lang w:val="en-US" w:eastAsia="zh-CN"/>
        </w:rPr>
        <w:t>J. Am. Chem. Soc.</w:t>
      </w:r>
      <w:r>
        <w:rPr>
          <w:b/>
          <w:sz w:val="21"/>
          <w:szCs w:val="21"/>
          <w:lang w:val="en-US" w:eastAsia="zh-CN"/>
        </w:rPr>
        <w:t xml:space="preserve"> 2025</w:t>
      </w:r>
      <w:r>
        <w:rPr>
          <w:bCs/>
          <w:sz w:val="21"/>
          <w:szCs w:val="21"/>
          <w:lang w:val="en-US" w:eastAsia="zh-CN"/>
        </w:rPr>
        <w:t xml:space="preserve">, </w:t>
      </w:r>
      <w:r>
        <w:rPr>
          <w:bCs/>
          <w:i/>
          <w:iCs/>
          <w:sz w:val="21"/>
          <w:szCs w:val="21"/>
          <w:lang w:val="en-US" w:eastAsia="zh-CN"/>
        </w:rPr>
        <w:t>147</w:t>
      </w:r>
      <w:r>
        <w:rPr>
          <w:bCs/>
          <w:sz w:val="21"/>
          <w:szCs w:val="21"/>
          <w:lang w:val="en-US" w:eastAsia="zh-CN"/>
        </w:rPr>
        <w:t>, 30380.</w:t>
      </w:r>
    </w:p>
    <w:p w14:paraId="0115FE24" w14:textId="77777777" w:rsidR="00AE216B" w:rsidRDefault="00000000">
      <w:pPr>
        <w:pStyle w:val="Default"/>
        <w:jc w:val="both"/>
        <w:rPr>
          <w:rFonts w:eastAsiaTheme="minorEastAsia"/>
          <w:sz w:val="21"/>
          <w:szCs w:val="21"/>
          <w:lang w:eastAsia="zh-CN"/>
        </w:rPr>
      </w:pPr>
      <w:r>
        <w:rPr>
          <w:bCs/>
          <w:sz w:val="21"/>
          <w:szCs w:val="21"/>
          <w:lang w:val="en-US" w:eastAsia="zh-CN"/>
        </w:rPr>
        <w:t>[5] Li, H.; Du, W.; Li, C.; Bai, L.; Jiang, X.</w:t>
      </w:r>
      <w:r>
        <w:rPr>
          <w:rFonts w:hint="eastAsia"/>
          <w:bCs/>
          <w:sz w:val="21"/>
          <w:szCs w:val="21"/>
          <w:lang w:val="en-US" w:eastAsia="zh-CN"/>
        </w:rPr>
        <w:t>*</w:t>
      </w:r>
      <w:r>
        <w:rPr>
          <w:bCs/>
          <w:sz w:val="21"/>
          <w:szCs w:val="21"/>
          <w:lang w:val="en-US" w:eastAsia="zh-CN"/>
        </w:rPr>
        <w:t xml:space="preserve"> β-Thioglycosylation from </w:t>
      </w:r>
      <w:proofErr w:type="spellStart"/>
      <w:r>
        <w:rPr>
          <w:bCs/>
          <w:sz w:val="21"/>
          <w:szCs w:val="21"/>
          <w:lang w:val="en-US" w:eastAsia="zh-CN"/>
        </w:rPr>
        <w:t>Unactivated</w:t>
      </w:r>
      <w:proofErr w:type="spellEnd"/>
      <w:r>
        <w:rPr>
          <w:bCs/>
          <w:sz w:val="21"/>
          <w:szCs w:val="21"/>
          <w:lang w:val="en-US" w:eastAsia="zh-CN"/>
        </w:rPr>
        <w:t xml:space="preserve"> Carbohydrates</w:t>
      </w:r>
      <w:r>
        <w:rPr>
          <w:rFonts w:hint="eastAsia"/>
          <w:bCs/>
          <w:sz w:val="21"/>
          <w:szCs w:val="21"/>
          <w:lang w:val="en-US" w:eastAsia="zh-CN"/>
        </w:rPr>
        <w:t>.</w:t>
      </w:r>
      <w:r>
        <w:rPr>
          <w:bCs/>
          <w:sz w:val="21"/>
          <w:szCs w:val="21"/>
          <w:lang w:val="en-US" w:eastAsia="zh-CN"/>
        </w:rPr>
        <w:t xml:space="preserve"> </w:t>
      </w:r>
      <w:r>
        <w:rPr>
          <w:bCs/>
          <w:i/>
          <w:iCs/>
          <w:sz w:val="21"/>
          <w:szCs w:val="21"/>
          <w:lang w:val="en-US" w:eastAsia="zh-CN"/>
        </w:rPr>
        <w:t>J. Am. Chem. Soc.</w:t>
      </w:r>
      <w:r>
        <w:rPr>
          <w:bCs/>
          <w:sz w:val="21"/>
          <w:szCs w:val="21"/>
          <w:lang w:val="en-US" w:eastAsia="zh-CN"/>
        </w:rPr>
        <w:t xml:space="preserve"> </w:t>
      </w:r>
      <w:proofErr w:type="gramStart"/>
      <w:r>
        <w:rPr>
          <w:b/>
          <w:sz w:val="21"/>
          <w:szCs w:val="21"/>
          <w:lang w:val="en-US" w:eastAsia="zh-CN"/>
        </w:rPr>
        <w:t>2025</w:t>
      </w:r>
      <w:r>
        <w:rPr>
          <w:bCs/>
          <w:sz w:val="21"/>
          <w:szCs w:val="21"/>
          <w:lang w:val="en-US" w:eastAsia="zh-CN"/>
        </w:rPr>
        <w:t xml:space="preserve"> ,</w:t>
      </w:r>
      <w:proofErr w:type="gramEnd"/>
      <w:r>
        <w:rPr>
          <w:bCs/>
          <w:sz w:val="21"/>
          <w:szCs w:val="21"/>
          <w:lang w:val="en-US" w:eastAsia="zh-CN"/>
        </w:rPr>
        <w:t xml:space="preserve"> </w:t>
      </w:r>
      <w:r>
        <w:rPr>
          <w:bCs/>
          <w:i/>
          <w:iCs/>
          <w:sz w:val="21"/>
          <w:szCs w:val="21"/>
          <w:lang w:val="en-US" w:eastAsia="zh-CN"/>
        </w:rPr>
        <w:t>147</w:t>
      </w:r>
      <w:r>
        <w:rPr>
          <w:bCs/>
          <w:sz w:val="21"/>
          <w:szCs w:val="21"/>
          <w:lang w:val="en-US" w:eastAsia="zh-CN"/>
        </w:rPr>
        <w:t>, 20978.</w:t>
      </w:r>
    </w:p>
    <w:p w14:paraId="43C35EB4" w14:textId="77777777" w:rsidR="00AE216B" w:rsidRDefault="00AE216B">
      <w:pPr>
        <w:widowControl/>
        <w:jc w:val="left"/>
        <w:rPr>
          <w:rFonts w:hint="eastAsia"/>
        </w:rPr>
      </w:pPr>
    </w:p>
    <w:p w14:paraId="3914FF00" w14:textId="3F27BB7E" w:rsidR="00AE216B" w:rsidRPr="00004663" w:rsidRDefault="00000000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hAnsi="Times New Roman" w:cs="宋体"/>
          <w:b/>
          <w:color w:val="4472C4" w:themeColor="accent1"/>
          <w:kern w:val="0"/>
          <w:sz w:val="28"/>
          <w:szCs w:val="28"/>
          <w:u w:val="single"/>
        </w:rPr>
      </w:pPr>
      <w:r w:rsidRPr="00004663">
        <w:rPr>
          <w:rFonts w:ascii="宋体" w:eastAsia="宋体" w:hAnsi="Times New Roman" w:cs="宋体" w:hint="eastAsia"/>
          <w:b/>
          <w:color w:val="4472C4" w:themeColor="accent1"/>
          <w:kern w:val="0"/>
          <w:sz w:val="28"/>
          <w:szCs w:val="28"/>
          <w:u w:val="single"/>
        </w:rPr>
        <w:lastRenderedPageBreak/>
        <w:t>【大会报告人和</w:t>
      </w:r>
      <w:r w:rsidR="003555D4" w:rsidRPr="00004663">
        <w:rPr>
          <w:rFonts w:ascii="宋体" w:eastAsia="宋体" w:hAnsi="Times New Roman" w:cs="宋体" w:hint="eastAsia"/>
          <w:b/>
          <w:color w:val="4472C4" w:themeColor="accent1"/>
          <w:kern w:val="0"/>
          <w:sz w:val="28"/>
          <w:szCs w:val="28"/>
          <w:u w:val="single"/>
        </w:rPr>
        <w:t>主题</w:t>
      </w:r>
      <w:r w:rsidRPr="00004663">
        <w:rPr>
          <w:rFonts w:ascii="宋体" w:eastAsia="宋体" w:hAnsi="Times New Roman" w:cs="宋体" w:hint="eastAsia"/>
          <w:b/>
          <w:color w:val="4472C4" w:themeColor="accent1"/>
          <w:kern w:val="0"/>
          <w:sz w:val="28"/>
          <w:szCs w:val="28"/>
          <w:u w:val="single"/>
        </w:rPr>
        <w:t>报告人请提供二寸照片及报告人介绍】</w:t>
      </w:r>
    </w:p>
    <w:p w14:paraId="75877F9C" w14:textId="77777777" w:rsidR="00AE216B" w:rsidRDefault="00AE216B">
      <w:pPr>
        <w:widowControl/>
        <w:jc w:val="left"/>
        <w:rPr>
          <w:rFonts w:hint="eastAsia"/>
        </w:rPr>
      </w:pPr>
    </w:p>
    <w:p w14:paraId="6A3770FD" w14:textId="77777777" w:rsidR="00AE216B" w:rsidRDefault="00AE216B">
      <w:pPr>
        <w:widowControl/>
        <w:jc w:val="left"/>
        <w:rPr>
          <w:rFonts w:hint="eastAsia"/>
        </w:rPr>
      </w:pPr>
    </w:p>
    <w:p w14:paraId="6BF69AB6" w14:textId="582D4BD9" w:rsidR="00AE216B" w:rsidRPr="008044C6" w:rsidRDefault="00000000">
      <w:pPr>
        <w:spacing w:afterLines="50" w:after="156"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044C6">
        <w:rPr>
          <w:rFonts w:ascii="宋体" w:eastAsia="宋体" w:hAnsi="宋体" w:cs="宋体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9D0F67" wp14:editId="2A64A541">
            <wp:simplePos x="0" y="0"/>
            <wp:positionH relativeFrom="column">
              <wp:posOffset>-5080</wp:posOffset>
            </wp:positionH>
            <wp:positionV relativeFrom="paragraph">
              <wp:posOffset>19050</wp:posOffset>
            </wp:positionV>
            <wp:extent cx="1336675" cy="1864360"/>
            <wp:effectExtent l="0" t="0" r="0" b="2540"/>
            <wp:wrapSquare wrapText="bothSides"/>
            <wp:docPr id="575011339" name="图片 575011339" descr="姜雪峰-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11339" name="图片 575011339" descr="姜雪峰-证件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姜雪峰，中国化学会会士，英国皇家化学会会士，上海市政协委员（第十三、十四届），上海市青联副主席，上海市青科协副主席。国务院政府特殊津贴专家、国家杰青、国家优青、国家万人，教育部青年长江学者、新世纪优秀人才、霍英东基金，上海市领军人才、优秀学术带头人、东方学者及优秀跟踪、五四青年奖章、青年岗位能手。曾获全国创新争先奖（2023），上海市自然科学一等奖（2024），上海市青年科技杰出贡献奖（2023），中国化学会</w:t>
      </w:r>
      <w:proofErr w:type="gramStart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菁</w:t>
      </w:r>
      <w:proofErr w:type="gramEnd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青卓越奖（2024），青山科技奖（2025），中国石油和化学工业联合会青年创新奖（2025），中美化学与化学生物学教授协会杰出教授奖（2020），中国均相催化青年奖（2019），亚洲联合化学会Rising Stars Lectureship Award（2019），</w:t>
      </w:r>
      <w:proofErr w:type="gramStart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药明康德</w:t>
      </w:r>
      <w:proofErr w:type="gramEnd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生命化学研究奖（2017），中国发明创业</w:t>
      </w:r>
      <w:proofErr w:type="gramStart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奖人物</w:t>
      </w:r>
      <w:proofErr w:type="gramEnd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奖（2025），全国颠覆性技术创新大赛优胜奖（2024），中国生物医药产业创新U45影响力青年奖（2024），长三角国</w:t>
      </w:r>
      <w:proofErr w:type="gramStart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创中心</w:t>
      </w:r>
      <w:proofErr w:type="gramEnd"/>
      <w:r w:rsidRPr="008044C6">
        <w:rPr>
          <w:rFonts w:ascii="宋体" w:eastAsia="宋体" w:hAnsi="宋体" w:hint="eastAsia"/>
          <w:color w:val="000000" w:themeColor="text1"/>
          <w:sz w:val="24"/>
          <w:szCs w:val="24"/>
        </w:rPr>
        <w:t>创新创业大赛清洁能源领域金奖（2025），上海市海聚英才全球创新创业大赛金奖（2023），上海市未来产业风云奖（2023），上海市科学技术普及一等奖（2023），上海市科普贡献个人一等奖（2020），上海市大众科学传播杰出人物（2022），IUPAC元素周期表青年科学家硫元素代言人（2018），连续5年 Elsevier 中国高被引学者。邮箱：</w:t>
      </w:r>
      <w:r w:rsidRPr="008044C6">
        <w:rPr>
          <w:rFonts w:ascii="宋体" w:eastAsia="宋体" w:hAnsi="宋体" w:cs="Times New Roman"/>
          <w:color w:val="000000" w:themeColor="text1"/>
          <w:sz w:val="24"/>
          <w:szCs w:val="24"/>
        </w:rPr>
        <w:t>xfjiang@chem.ecnu.edu.cn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  <w:lang w:val="de-DE"/>
        </w:rPr>
        <w:t>（小</w:t>
      </w:r>
      <w:r w:rsidRPr="00004663">
        <w:rPr>
          <w:rFonts w:ascii="宋体" w:eastAsia="宋体" w:hAnsi="宋体" w:cs="宋体"/>
          <w:b/>
          <w:bCs/>
          <w:color w:val="4472C4" w:themeColor="accent1"/>
          <w:kern w:val="0"/>
          <w:sz w:val="24"/>
          <w:szCs w:val="24"/>
          <w:lang w:val="de-DE"/>
        </w:rPr>
        <w:t>四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  <w:lang w:val="de-DE"/>
        </w:rPr>
        <w:t>，宋体，1.5倍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</w:rPr>
        <w:t>行距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  <w:lang w:val="de-DE"/>
        </w:rPr>
        <w:t>，</w:t>
      </w:r>
      <w:r w:rsidR="00835161"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  <w:lang w:val="de-DE"/>
        </w:rPr>
        <w:t>5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  <w:lang w:val="de-DE"/>
        </w:rPr>
        <w:t>00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</w:rPr>
        <w:t>字以内</w:t>
      </w:r>
      <w:r w:rsidRPr="00004663">
        <w:rPr>
          <w:rFonts w:ascii="宋体" w:eastAsia="宋体" w:hAnsi="宋体" w:cs="宋体" w:hint="eastAsia"/>
          <w:b/>
          <w:bCs/>
          <w:color w:val="4472C4" w:themeColor="accent1"/>
          <w:kern w:val="0"/>
          <w:sz w:val="24"/>
          <w:szCs w:val="24"/>
          <w:lang w:val="de-DE"/>
        </w:rPr>
        <w:t>）</w:t>
      </w:r>
    </w:p>
    <w:p w14:paraId="6E9A1B2B" w14:textId="77777777" w:rsidR="00AE216B" w:rsidRDefault="00AE216B">
      <w:pPr>
        <w:widowControl/>
        <w:jc w:val="left"/>
        <w:rPr>
          <w:rFonts w:hint="eastAsia"/>
        </w:rPr>
      </w:pPr>
    </w:p>
    <w:p w14:paraId="291145EC" w14:textId="77777777" w:rsidR="00AE216B" w:rsidRDefault="00AE216B">
      <w:pPr>
        <w:widowControl/>
        <w:jc w:val="left"/>
        <w:rPr>
          <w:rFonts w:hint="eastAsia"/>
        </w:rPr>
      </w:pPr>
    </w:p>
    <w:sectPr w:rsidR="00AE216B">
      <w:headerReference w:type="default" r:id="rId9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22AC" w14:textId="77777777" w:rsidR="00B047F7" w:rsidRDefault="00B047F7">
      <w:pPr>
        <w:rPr>
          <w:rFonts w:hint="eastAsia"/>
        </w:rPr>
      </w:pPr>
      <w:r>
        <w:separator/>
      </w:r>
    </w:p>
  </w:endnote>
  <w:endnote w:type="continuationSeparator" w:id="0">
    <w:p w14:paraId="6ADF9983" w14:textId="77777777" w:rsidR="00B047F7" w:rsidRDefault="00B047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0B66" w14:textId="77777777" w:rsidR="00B047F7" w:rsidRDefault="00B047F7">
      <w:pPr>
        <w:rPr>
          <w:rFonts w:hint="eastAsia"/>
        </w:rPr>
      </w:pPr>
      <w:r>
        <w:separator/>
      </w:r>
    </w:p>
  </w:footnote>
  <w:footnote w:type="continuationSeparator" w:id="0">
    <w:p w14:paraId="01544414" w14:textId="77777777" w:rsidR="00B047F7" w:rsidRDefault="00B047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8505" w14:textId="77777777" w:rsidR="00AE216B" w:rsidRDefault="00000000">
    <w:pPr>
      <w:pStyle w:val="a5"/>
      <w:wordWrap w:val="0"/>
      <w:rPr>
        <w:rFonts w:ascii="黑体" w:eastAsia="黑体" w:hAnsi="黑体" w:hint="eastAsia"/>
        <w:color w:val="000000"/>
        <w:sz w:val="41"/>
        <w:szCs w:val="41"/>
      </w:rPr>
    </w:pPr>
    <w:r>
      <w:rPr>
        <w:rFonts w:ascii="黑体" w:eastAsia="黑体" w:hAnsi="黑体" w:hint="eastAsia"/>
        <w:noProof/>
        <w:color w:val="000000"/>
        <w:sz w:val="41"/>
        <w:szCs w:val="41"/>
      </w:rPr>
      <w:drawing>
        <wp:anchor distT="0" distB="0" distL="114300" distR="114300" simplePos="0" relativeHeight="251660288" behindDoc="0" locked="0" layoutInCell="1" allowOverlap="1" wp14:anchorId="4CECE2C8" wp14:editId="36C4E4DA">
          <wp:simplePos x="0" y="0"/>
          <wp:positionH relativeFrom="column">
            <wp:posOffset>-78740</wp:posOffset>
          </wp:positionH>
          <wp:positionV relativeFrom="paragraph">
            <wp:posOffset>-127000</wp:posOffset>
          </wp:positionV>
          <wp:extent cx="1562100" cy="628650"/>
          <wp:effectExtent l="0" t="0" r="0" b="0"/>
          <wp:wrapNone/>
          <wp:docPr id="3" name="图片 3" descr="CCS-Logo-Col-全色Logo-灰字-透明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CS-Logo-Col-全色Logo-灰字-透明背景"/>
                  <pic:cNvPicPr>
                    <a:picLocks noChangeAspect="1"/>
                  </pic:cNvPicPr>
                </pic:nvPicPr>
                <pic:blipFill>
                  <a:blip r:embed="rId1"/>
                  <a:srcRect l="10934" t="15953" r="9014" b="19844"/>
                  <a:stretch>
                    <a:fillRect/>
                  </a:stretch>
                </pic:blipFill>
                <pic:spPr>
                  <a:xfrm>
                    <a:off x="0" y="0"/>
                    <a:ext cx="15621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eastAsia="黑体" w:hAnsi="黑体"/>
        <w:noProof/>
        <w:color w:val="000000"/>
        <w:sz w:val="42"/>
        <w:szCs w:val="42"/>
      </w:rPr>
      <w:drawing>
        <wp:anchor distT="0" distB="0" distL="114300" distR="114300" simplePos="0" relativeHeight="251659264" behindDoc="1" locked="0" layoutInCell="1" allowOverlap="1" wp14:anchorId="3A8C6300" wp14:editId="36BECEBE">
          <wp:simplePos x="0" y="0"/>
          <wp:positionH relativeFrom="margin">
            <wp:posOffset>1548130</wp:posOffset>
          </wp:positionH>
          <wp:positionV relativeFrom="paragraph">
            <wp:posOffset>-88265</wp:posOffset>
          </wp:positionV>
          <wp:extent cx="407670" cy="535305"/>
          <wp:effectExtent l="0" t="0" r="0" b="0"/>
          <wp:wrapTight wrapText="bothSides">
            <wp:wrapPolygon edited="0">
              <wp:start x="0" y="0"/>
              <wp:lineTo x="0" y="20754"/>
              <wp:lineTo x="20187" y="20754"/>
              <wp:lineTo x="20187" y="0"/>
              <wp:lineTo x="0" y="0"/>
            </wp:wrapPolygon>
          </wp:wrapTight>
          <wp:docPr id="2" name="图片 2" descr="C:\Users\admin\Desktop\未标题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\Desktop\未标题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67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color w:val="000000"/>
        <w:sz w:val="41"/>
        <w:szCs w:val="41"/>
      </w:rPr>
      <w:t xml:space="preserve">             中国化学会第十一届</w:t>
    </w:r>
    <w:proofErr w:type="gramStart"/>
    <w:r>
      <w:rPr>
        <w:rFonts w:ascii="黑体" w:eastAsia="黑体" w:hAnsi="黑体" w:hint="eastAsia"/>
        <w:color w:val="000000"/>
        <w:sz w:val="41"/>
        <w:szCs w:val="41"/>
      </w:rPr>
      <w:t>菁</w:t>
    </w:r>
    <w:proofErr w:type="gramEnd"/>
    <w:r>
      <w:rPr>
        <w:rFonts w:ascii="黑体" w:eastAsia="黑体" w:hAnsi="黑体" w:hint="eastAsia"/>
        <w:color w:val="000000"/>
        <w:sz w:val="41"/>
        <w:szCs w:val="41"/>
      </w:rPr>
      <w:t>青论坛</w:t>
    </w:r>
  </w:p>
  <w:p w14:paraId="1E370302" w14:textId="77777777" w:rsidR="00AE216B" w:rsidRDefault="00000000">
    <w:pPr>
      <w:pStyle w:val="a5"/>
      <w:jc w:val="right"/>
      <w:rPr>
        <w:rFonts w:ascii="Times New Roman" w:hAnsi="Times New Roman" w:cs="Times New Roman"/>
        <w:color w:val="000000"/>
        <w:sz w:val="16"/>
        <w:szCs w:val="15"/>
      </w:rPr>
    </w:pPr>
    <w:r>
      <w:rPr>
        <w:rFonts w:ascii="Times New Roman" w:hAnsi="Times New Roman" w:cs="Times New Roman" w:hint="eastAsia"/>
        <w:color w:val="000000"/>
        <w:sz w:val="16"/>
        <w:szCs w:val="15"/>
      </w:rPr>
      <w:t xml:space="preserve">                         </w:t>
    </w:r>
    <w:r>
      <w:rPr>
        <w:rFonts w:ascii="Times New Roman" w:hAnsi="Times New Roman" w:cs="Times New Roman"/>
        <w:color w:val="000000"/>
        <w:sz w:val="16"/>
        <w:szCs w:val="15"/>
      </w:rPr>
      <w:t>THE</w:t>
    </w:r>
    <w:r>
      <w:rPr>
        <w:rFonts w:ascii="Times New Roman" w:hAnsi="Times New Roman" w:cs="Times New Roman" w:hint="eastAsia"/>
        <w:color w:val="000000"/>
        <w:sz w:val="16"/>
        <w:szCs w:val="15"/>
      </w:rPr>
      <w:t xml:space="preserve"> 11</w:t>
    </w:r>
    <w:r>
      <w:rPr>
        <w:rFonts w:ascii="Times New Roman" w:hAnsi="Times New Roman" w:cs="Times New Roman"/>
        <w:color w:val="000000"/>
        <w:sz w:val="16"/>
        <w:szCs w:val="15"/>
      </w:rPr>
      <w:t>TH ELITE YOUTH FORUM OF CHINESE CHEMICAL SOCIET</w:t>
    </w:r>
    <w:r>
      <w:rPr>
        <w:rFonts w:ascii="Times New Roman" w:hAnsi="Times New Roman" w:cs="Times New Roman" w:hint="eastAsia"/>
        <w:color w:val="000000"/>
        <w:sz w:val="16"/>
        <w:szCs w:val="15"/>
      </w:rPr>
      <w:t>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3szQzMzeyMDIwNTVW0lEKTi0uzszPAykwqgUAcVmuBSwAAAA="/>
  </w:docVars>
  <w:rsids>
    <w:rsidRoot w:val="00EF6585"/>
    <w:rsid w:val="00001165"/>
    <w:rsid w:val="00004663"/>
    <w:rsid w:val="000609FC"/>
    <w:rsid w:val="000A7CA6"/>
    <w:rsid w:val="000F7783"/>
    <w:rsid w:val="001273A2"/>
    <w:rsid w:val="001949EC"/>
    <w:rsid w:val="00196A3C"/>
    <w:rsid w:val="001D7514"/>
    <w:rsid w:val="002360D1"/>
    <w:rsid w:val="00297340"/>
    <w:rsid w:val="002D66ED"/>
    <w:rsid w:val="00346FA8"/>
    <w:rsid w:val="003555D4"/>
    <w:rsid w:val="00364889"/>
    <w:rsid w:val="003B6CDD"/>
    <w:rsid w:val="00456E40"/>
    <w:rsid w:val="00487CEF"/>
    <w:rsid w:val="00491DDA"/>
    <w:rsid w:val="004A6F73"/>
    <w:rsid w:val="004D3A29"/>
    <w:rsid w:val="00530A8C"/>
    <w:rsid w:val="00547F66"/>
    <w:rsid w:val="00581351"/>
    <w:rsid w:val="005851AB"/>
    <w:rsid w:val="00596C88"/>
    <w:rsid w:val="005B3FF3"/>
    <w:rsid w:val="005D769D"/>
    <w:rsid w:val="005F10F6"/>
    <w:rsid w:val="00601E28"/>
    <w:rsid w:val="00635BF4"/>
    <w:rsid w:val="0067491F"/>
    <w:rsid w:val="006955BF"/>
    <w:rsid w:val="006C4508"/>
    <w:rsid w:val="00706C08"/>
    <w:rsid w:val="00745255"/>
    <w:rsid w:val="008044C6"/>
    <w:rsid w:val="00835161"/>
    <w:rsid w:val="008369C8"/>
    <w:rsid w:val="0087315C"/>
    <w:rsid w:val="0090139C"/>
    <w:rsid w:val="009409C5"/>
    <w:rsid w:val="00941883"/>
    <w:rsid w:val="00951729"/>
    <w:rsid w:val="009E0082"/>
    <w:rsid w:val="009F3A45"/>
    <w:rsid w:val="00A70A49"/>
    <w:rsid w:val="00A944A1"/>
    <w:rsid w:val="00AE216B"/>
    <w:rsid w:val="00AF6456"/>
    <w:rsid w:val="00B047F7"/>
    <w:rsid w:val="00B56699"/>
    <w:rsid w:val="00B8421F"/>
    <w:rsid w:val="00C91751"/>
    <w:rsid w:val="00CF713C"/>
    <w:rsid w:val="00CF7DFA"/>
    <w:rsid w:val="00D5338C"/>
    <w:rsid w:val="00DB0A92"/>
    <w:rsid w:val="00DB3F08"/>
    <w:rsid w:val="00DC0BFD"/>
    <w:rsid w:val="00DF7044"/>
    <w:rsid w:val="00E01456"/>
    <w:rsid w:val="00E67214"/>
    <w:rsid w:val="00EA1DA7"/>
    <w:rsid w:val="00EE7B5C"/>
    <w:rsid w:val="00EF6585"/>
    <w:rsid w:val="00F73C1D"/>
    <w:rsid w:val="021E020E"/>
    <w:rsid w:val="055A1389"/>
    <w:rsid w:val="060F639F"/>
    <w:rsid w:val="07C70FCC"/>
    <w:rsid w:val="0ABA440A"/>
    <w:rsid w:val="11311100"/>
    <w:rsid w:val="13AE369B"/>
    <w:rsid w:val="151F58B6"/>
    <w:rsid w:val="1B537AE7"/>
    <w:rsid w:val="1C251CA5"/>
    <w:rsid w:val="1E2B4D65"/>
    <w:rsid w:val="283C7070"/>
    <w:rsid w:val="29B42C36"/>
    <w:rsid w:val="3B8C57C0"/>
    <w:rsid w:val="3D4402AC"/>
    <w:rsid w:val="49216AC4"/>
    <w:rsid w:val="4C101250"/>
    <w:rsid w:val="532F2EC1"/>
    <w:rsid w:val="55637013"/>
    <w:rsid w:val="5EA80A59"/>
    <w:rsid w:val="634700D1"/>
    <w:rsid w:val="65A663D3"/>
    <w:rsid w:val="6F963A78"/>
    <w:rsid w:val="70B86135"/>
    <w:rsid w:val="7A9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8AABBF"/>
  <w15:docId w15:val="{20DAE92D-B7BD-4AB8-928A-91F1420A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s://faculty.ecnu.edu.cn/_upload/article/images/fd/d5/a9db2cd84fd98b6a16d0d570ed0f/fd28e9c9-8f4e-4c12-b6cd-da18c85fbda5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601492348@qq.com</dc:creator>
  <cp:lastModifiedBy>yuyang xu</cp:lastModifiedBy>
  <cp:revision>4</cp:revision>
  <dcterms:created xsi:type="dcterms:W3CDTF">2026-02-27T14:09:00Z</dcterms:created>
  <dcterms:modified xsi:type="dcterms:W3CDTF">2026-03-04T02:59:00Z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1FDD47AEB90448E6B8EAB216496DD7AB_13</vt:lpwstr>
  </property>
  <property fmtid="{D5CDD505-2E9C-101B-9397-08002B2CF9AE}" pid="4" name="KSOTemplateDocerSaveRecord">
    <vt:lpwstr>eyJoZGlkIjoiMzEwNTM5NzYwMDRjMzkwZTVkZjY2ODkwMGIxNGU0OTUiLCJ1c2VySWQiOiI4NjA4ODAzMjYifQ==</vt:lpwstr>
  </property>
</Properties>
</file>